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922C" w14:textId="0BC1ECDA" w:rsid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Epilepsy Society of Australia</w:t>
      </w:r>
    </w:p>
    <w:p w14:paraId="0B4C15D0" w14:textId="77777777" w:rsid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18FC9715" w14:textId="3758629D" w:rsidR="00093C21" w:rsidRP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93C21">
        <w:rPr>
          <w:rStyle w:val="normaltextrun"/>
          <w:rFonts w:ascii="Calibri" w:hAnsi="Calibri" w:cs="Calibri"/>
          <w:b/>
          <w:bCs/>
          <w:sz w:val="28"/>
          <w:szCs w:val="28"/>
        </w:rPr>
        <w:t>Position Statement:</w:t>
      </w:r>
    </w:p>
    <w:p w14:paraId="2D3CB9CD" w14:textId="54CBFD59" w:rsidR="00093C21" w:rsidRP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93C21">
        <w:rPr>
          <w:rStyle w:val="normaltextrun"/>
          <w:rFonts w:ascii="Calibri" w:hAnsi="Calibri" w:cs="Calibri"/>
          <w:b/>
          <w:bCs/>
          <w:sz w:val="28"/>
          <w:szCs w:val="28"/>
        </w:rPr>
        <w:t>Continuous Electroencephalography Monitoring in the Intensive Care Unit</w:t>
      </w:r>
    </w:p>
    <w:p w14:paraId="38298FD9" w14:textId="77777777" w:rsidR="003960A6" w:rsidRDefault="003960A6" w:rsidP="00093C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0BFA25CA" w14:textId="45FCAADB" w:rsid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ESA Continuous EEG Taskforce</w:t>
      </w:r>
    </w:p>
    <w:p w14:paraId="1ECCA8B5" w14:textId="77777777" w:rsid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68862E5" w14:textId="3220005C" w:rsid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Joshua Laing, Alfred Hospital, Melbourne</w:t>
      </w:r>
    </w:p>
    <w:p w14:paraId="09469AA0" w14:textId="72F01D49" w:rsid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Michaela Waak, Queensland Children's Hospital, Brisbane</w:t>
      </w:r>
    </w:p>
    <w:p w14:paraId="74A69EC6" w14:textId="0EE30DAF" w:rsid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Lakshmi Nagarajan, Perth Children's Hospital, Perth</w:t>
      </w:r>
    </w:p>
    <w:p w14:paraId="37260A0A" w14:textId="31C276D7" w:rsid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Nicholas Lawn, WA Adult Epilepsy Service, Perth</w:t>
      </w:r>
    </w:p>
    <w:p w14:paraId="495C0211" w14:textId="0D16419A" w:rsidR="00093C21" w:rsidRDefault="00093C21" w:rsidP="00093C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A. Simon Harvey (Chair), Royal Children's Hospital, Melbourne</w:t>
      </w:r>
    </w:p>
    <w:p w14:paraId="7B2957D4" w14:textId="4244018F" w:rsidR="00093C21" w:rsidRPr="003960A6" w:rsidRDefault="00093C21" w:rsidP="00093C21">
      <w:pPr>
        <w:rPr>
          <w:b/>
          <w:bCs/>
          <w:sz w:val="24"/>
          <w:szCs w:val="24"/>
        </w:rPr>
      </w:pPr>
    </w:p>
    <w:p w14:paraId="0FE9C536" w14:textId="4BF84742" w:rsidR="00D62A36" w:rsidRPr="003960A6" w:rsidRDefault="00093C21" w:rsidP="00D17ED0">
      <w:pPr>
        <w:rPr>
          <w:sz w:val="24"/>
          <w:szCs w:val="24"/>
        </w:rPr>
      </w:pPr>
      <w:r w:rsidRPr="003960A6">
        <w:rPr>
          <w:sz w:val="24"/>
          <w:szCs w:val="24"/>
        </w:rPr>
        <w:t>Seizures, predominantly subclinical or electrographic-only seizures, occur in some ICU patients with depressed conscious state; electrographic status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epilepticus is present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proportion of these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patients.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The prevalence of seizures 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ICU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patients with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depressed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conscious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state depends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age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(neonates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&gt;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children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&gt;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adults), the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presence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 prior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clinical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seizures (acute symptomatic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or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epilepsy),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and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aetiology (highest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risk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 patients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with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stroke,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encephalitis, traumatic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brain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injury,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 xml:space="preserve">hypoxic-ischaemic </w:t>
      </w:r>
      <w:r w:rsidR="004A7F45" w:rsidRPr="003960A6">
        <w:rPr>
          <w:sz w:val="24"/>
          <w:szCs w:val="24"/>
        </w:rPr>
        <w:t>e</w:t>
      </w:r>
      <w:r w:rsidRPr="003960A6">
        <w:rPr>
          <w:sz w:val="24"/>
          <w:szCs w:val="24"/>
        </w:rPr>
        <w:t>ncephalopathy, neonatal encephalopathies, and intracerebral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haemorrhage).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Reported prevalence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rates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for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electrographic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seizures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and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status epilepticus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are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10-30%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and 5% respectively 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at risk</w:t>
      </w:r>
      <w:r w:rsidR="004A7F45" w:rsidRPr="003960A6">
        <w:rPr>
          <w:sz w:val="24"/>
          <w:szCs w:val="24"/>
        </w:rPr>
        <w:t xml:space="preserve"> </w:t>
      </w:r>
      <w:r w:rsidR="00297D6C">
        <w:rPr>
          <w:sz w:val="24"/>
          <w:szCs w:val="24"/>
        </w:rPr>
        <w:t xml:space="preserve">ICU </w:t>
      </w:r>
      <w:r w:rsidRPr="003960A6">
        <w:rPr>
          <w:sz w:val="24"/>
          <w:szCs w:val="24"/>
        </w:rPr>
        <w:t xml:space="preserve">patients. </w:t>
      </w:r>
      <w:r w:rsidR="00297D6C">
        <w:rPr>
          <w:sz w:val="24"/>
          <w:szCs w:val="24"/>
        </w:rPr>
        <w:t>S</w:t>
      </w:r>
      <w:r w:rsidRPr="003960A6">
        <w:rPr>
          <w:sz w:val="24"/>
          <w:szCs w:val="24"/>
        </w:rPr>
        <w:t xml:space="preserve">eizures </w:t>
      </w:r>
      <w:r w:rsidR="00297D6C">
        <w:rPr>
          <w:sz w:val="24"/>
          <w:szCs w:val="24"/>
        </w:rPr>
        <w:t xml:space="preserve">in unconscious ICU patients </w:t>
      </w:r>
      <w:r w:rsidRPr="003960A6">
        <w:rPr>
          <w:sz w:val="24"/>
          <w:szCs w:val="24"/>
        </w:rPr>
        <w:t xml:space="preserve">are often not obvious clinically and may only be detected on EEG recordings. </w:t>
      </w:r>
    </w:p>
    <w:p w14:paraId="64616697" w14:textId="77777777" w:rsidR="00297D6C" w:rsidRDefault="00093C21" w:rsidP="00D17ED0">
      <w:pPr>
        <w:rPr>
          <w:sz w:val="24"/>
          <w:szCs w:val="24"/>
        </w:rPr>
      </w:pPr>
      <w:r w:rsidRPr="003960A6">
        <w:rPr>
          <w:sz w:val="24"/>
          <w:szCs w:val="24"/>
        </w:rPr>
        <w:t>Routine EEG is widely available and effective for the diagnosis of many seizure-related issues in the ICU e.g., detection of frequent seizures or status epilepticus, clarification of frequent clinical or amplitude-integrated EEG phenomena.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 xml:space="preserve">Additionally, </w:t>
      </w:r>
      <w:r w:rsidR="003C4DD5" w:rsidRPr="003960A6">
        <w:rPr>
          <w:sz w:val="24"/>
          <w:szCs w:val="24"/>
        </w:rPr>
        <w:t>routine 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may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show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 xml:space="preserve">background abnormalities, interictal epileptiform discharges or rhythmic/periodic patterns </w:t>
      </w:r>
      <w:r w:rsidR="00297D6C">
        <w:rPr>
          <w:sz w:val="24"/>
          <w:szCs w:val="24"/>
        </w:rPr>
        <w:t xml:space="preserve">which </w:t>
      </w:r>
      <w:r w:rsidRPr="003960A6">
        <w:rPr>
          <w:sz w:val="24"/>
          <w:szCs w:val="24"/>
        </w:rPr>
        <w:t>indicat</w:t>
      </w:r>
      <w:r w:rsidR="00297D6C">
        <w:rPr>
          <w:sz w:val="24"/>
          <w:szCs w:val="24"/>
        </w:rPr>
        <w:t>e</w:t>
      </w:r>
      <w:r w:rsidRPr="003960A6">
        <w:rPr>
          <w:sz w:val="24"/>
          <w:szCs w:val="24"/>
        </w:rPr>
        <w:t xml:space="preserve"> a high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likelihood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subsequent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electrographic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seizures.</w:t>
      </w:r>
      <w:r w:rsidR="004A7F45" w:rsidRPr="003960A6">
        <w:rPr>
          <w:sz w:val="24"/>
          <w:szCs w:val="24"/>
        </w:rPr>
        <w:t xml:space="preserve"> </w:t>
      </w:r>
    </w:p>
    <w:p w14:paraId="4CEAC459" w14:textId="745462DB" w:rsidR="004A7F45" w:rsidRPr="003960A6" w:rsidRDefault="003C4DD5" w:rsidP="00D17ED0">
      <w:pPr>
        <w:rPr>
          <w:sz w:val="24"/>
          <w:szCs w:val="24"/>
        </w:rPr>
      </w:pPr>
      <w:r w:rsidRPr="003960A6">
        <w:rPr>
          <w:sz w:val="24"/>
          <w:szCs w:val="24"/>
        </w:rPr>
        <w:t>Continuous EEG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monitoring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(cEEG),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that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is video-EEG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recordings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of at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least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3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hours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and typically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greater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than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12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hours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duration,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allows detection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of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infrequent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or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variable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frequency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seizures</w:t>
      </w:r>
      <w:r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and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periods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of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status</w:t>
      </w:r>
      <w:r w:rsidR="004A7F45" w:rsidRPr="003960A6">
        <w:rPr>
          <w:sz w:val="24"/>
          <w:szCs w:val="24"/>
        </w:rPr>
        <w:t xml:space="preserve"> </w:t>
      </w:r>
      <w:r w:rsidR="00093C21" w:rsidRPr="003960A6">
        <w:rPr>
          <w:sz w:val="24"/>
          <w:szCs w:val="24"/>
        </w:rPr>
        <w:t>epilepticus, determination of seizure burden, and assessment of the response to treatment of seizures.</w:t>
      </w:r>
    </w:p>
    <w:p w14:paraId="374A58CD" w14:textId="3265587A" w:rsidR="004A7F45" w:rsidRPr="003960A6" w:rsidRDefault="00093C21" w:rsidP="00D17ED0">
      <w:pPr>
        <w:rPr>
          <w:sz w:val="24"/>
          <w:szCs w:val="24"/>
        </w:rPr>
      </w:pPr>
      <w:r w:rsidRPr="003960A6">
        <w:rPr>
          <w:sz w:val="24"/>
          <w:szCs w:val="24"/>
        </w:rPr>
        <w:t>Numerous cohort studies of cEEG in ICU</w:t>
      </w:r>
      <w:r w:rsidR="00297D6C">
        <w:rPr>
          <w:sz w:val="24"/>
          <w:szCs w:val="24"/>
        </w:rPr>
        <w:t>, mainly in neonatal and paediatric</w:t>
      </w:r>
      <w:r w:rsidRPr="003960A6">
        <w:rPr>
          <w:sz w:val="24"/>
          <w:szCs w:val="24"/>
        </w:rPr>
        <w:t xml:space="preserve"> settings</w:t>
      </w:r>
      <w:r w:rsidR="00297D6C">
        <w:rPr>
          <w:sz w:val="24"/>
          <w:szCs w:val="24"/>
        </w:rPr>
        <w:t>,</w:t>
      </w:r>
      <w:r w:rsidRPr="003960A6">
        <w:rPr>
          <w:sz w:val="24"/>
          <w:szCs w:val="24"/>
        </w:rPr>
        <w:t xml:space="preserve"> report potential negative outcomes of status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epilepticus</w:t>
      </w:r>
      <w:r w:rsidR="00297D6C">
        <w:rPr>
          <w:sz w:val="24"/>
          <w:szCs w:val="24"/>
        </w:rPr>
        <w:t xml:space="preserve"> and high seizure burden</w:t>
      </w:r>
      <w:r w:rsidRPr="003960A6">
        <w:rPr>
          <w:sz w:val="24"/>
          <w:szCs w:val="24"/>
        </w:rPr>
        <w:t>,</w:t>
      </w:r>
      <w:r w:rsidR="004A7F45" w:rsidRPr="003960A6">
        <w:rPr>
          <w:sz w:val="24"/>
          <w:szCs w:val="24"/>
        </w:rPr>
        <w:t xml:space="preserve"> </w:t>
      </w:r>
      <w:r w:rsidR="00297D6C">
        <w:rPr>
          <w:sz w:val="24"/>
          <w:szCs w:val="24"/>
        </w:rPr>
        <w:t xml:space="preserve">over and above the impact of the underlying condition. However, </w:t>
      </w:r>
      <w:r w:rsidRPr="003960A6">
        <w:rPr>
          <w:sz w:val="24"/>
          <w:szCs w:val="24"/>
        </w:rPr>
        <w:t>few</w:t>
      </w:r>
      <w:r w:rsidR="004A7F45" w:rsidRPr="003960A6">
        <w:rPr>
          <w:sz w:val="24"/>
          <w:szCs w:val="24"/>
        </w:rPr>
        <w:t xml:space="preserve"> </w:t>
      </w:r>
      <w:r w:rsidR="00297D6C">
        <w:rPr>
          <w:sz w:val="24"/>
          <w:szCs w:val="24"/>
        </w:rPr>
        <w:t xml:space="preserve">studies </w:t>
      </w:r>
      <w:r w:rsidRPr="003960A6">
        <w:rPr>
          <w:sz w:val="24"/>
          <w:szCs w:val="24"/>
        </w:rPr>
        <w:t>adequately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assess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the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clinical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and economic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impact of the practice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 cEEG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ICU. Studies in adult ICU patients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comparing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cEEG with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routine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have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been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conflicting,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with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two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large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registry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studies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reporting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reduced mortality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associated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with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cEEG,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but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one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randomised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study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reporting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no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benefit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on mortality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patients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without prior clinical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seizures. Health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economic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modelling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data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from neonatal and paediatric ICUs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suggest 24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hours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 cEEG monitoring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would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cost-effective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 xml:space="preserve">if electrographic status epilepticus identification and treatment improved patient </w:t>
      </w:r>
      <w:r w:rsidR="003C4DD5" w:rsidRPr="003960A6">
        <w:rPr>
          <w:sz w:val="24"/>
          <w:szCs w:val="24"/>
        </w:rPr>
        <w:t xml:space="preserve">functional </w:t>
      </w:r>
      <w:r w:rsidRPr="003960A6">
        <w:rPr>
          <w:sz w:val="24"/>
          <w:szCs w:val="24"/>
        </w:rPr>
        <w:t>outcomes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 xml:space="preserve">by as little as 3%. Additional potential benefits of cEEG include </w:t>
      </w:r>
      <w:r w:rsidRPr="003960A6">
        <w:rPr>
          <w:sz w:val="24"/>
          <w:szCs w:val="24"/>
        </w:rPr>
        <w:lastRenderedPageBreak/>
        <w:t>evaluation of therapeutic interventions, prevention of inappropriate use of anti-seizure medication, and prognostication of outcome.</w:t>
      </w:r>
      <w:r w:rsidR="003C4DD5" w:rsidRPr="003960A6">
        <w:rPr>
          <w:sz w:val="24"/>
          <w:szCs w:val="24"/>
        </w:rPr>
        <w:t xml:space="preserve"> </w:t>
      </w:r>
    </w:p>
    <w:p w14:paraId="36586FE5" w14:textId="59F59C78" w:rsidR="00093C21" w:rsidRPr="003960A6" w:rsidRDefault="00093C21" w:rsidP="00D17ED0">
      <w:pPr>
        <w:rPr>
          <w:sz w:val="24"/>
          <w:szCs w:val="24"/>
        </w:rPr>
      </w:pPr>
      <w:r w:rsidRPr="003960A6">
        <w:rPr>
          <w:sz w:val="24"/>
          <w:szCs w:val="24"/>
        </w:rPr>
        <w:t>Neurological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consultation,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with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or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without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routine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and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neuroimaging,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remains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the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gold standard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initial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seizure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assessment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ICU.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Routine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ICU,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where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indicated,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should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be performed with video and a view to continuing as cEEG in appropriately selected patients. cEEG in ICU should be considered in patients with clinical or routine EEG risk factors for seizures, and patients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whom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routine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fails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to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clarify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the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clinical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questio</w:t>
      </w:r>
      <w:r w:rsidRPr="00297D6C">
        <w:rPr>
          <w:sz w:val="24"/>
          <w:szCs w:val="24"/>
        </w:rPr>
        <w:t>n.</w:t>
      </w:r>
      <w:r w:rsidRPr="003960A6">
        <w:rPr>
          <w:sz w:val="24"/>
          <w:szCs w:val="24"/>
        </w:rPr>
        <w:t xml:space="preserve"> cEEG in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unselected patients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 the ICU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is not recommended.</w:t>
      </w:r>
    </w:p>
    <w:p w14:paraId="31910EA0" w14:textId="5E269033" w:rsidR="00EE7076" w:rsidRPr="003960A6" w:rsidRDefault="00093C21" w:rsidP="00D17ED0">
      <w:pPr>
        <w:rPr>
          <w:sz w:val="24"/>
          <w:szCs w:val="24"/>
        </w:rPr>
      </w:pPr>
      <w:r w:rsidRPr="003960A6">
        <w:rPr>
          <w:sz w:val="24"/>
          <w:szCs w:val="24"/>
        </w:rPr>
        <w:t>cEEG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should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only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undertaken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appropriately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trained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and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experienced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neurophysiology scientists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and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neurologists,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the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latter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typically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being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epileptologists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with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ICU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experience. The resources and funding required to implement and maintain a robust cEEG service in ICU are substantial.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Although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video-EEG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monitoring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capabilities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exist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most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tertiary hospitals,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this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is notionally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for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epilepsy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care 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epilepsy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monitoring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units, not cEEG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 ICUs.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Furthermore, remuneration for video-EEG monitoring is poor and insufficient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for many hospitals to establish or maintain a service.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 case should be made by neurologists and intensivists to hospitals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and health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departments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for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funding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targeted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cEEG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appropriate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duration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high-risk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ICU patients. Advocacy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professional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societies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would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help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promote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awareness of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the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value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 targeted cEEG in ICU.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One important,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presently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unmet need for cEEG is for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 xml:space="preserve">neonates and </w:t>
      </w:r>
      <w:r w:rsidRPr="00297D6C">
        <w:rPr>
          <w:sz w:val="24"/>
          <w:szCs w:val="24"/>
        </w:rPr>
        <w:t>infants in ICUs,</w:t>
      </w:r>
      <w:r w:rsidR="003C4DD5" w:rsidRPr="00297D6C">
        <w:rPr>
          <w:sz w:val="24"/>
          <w:szCs w:val="24"/>
        </w:rPr>
        <w:t xml:space="preserve"> </w:t>
      </w:r>
      <w:r w:rsidRPr="00297D6C">
        <w:rPr>
          <w:sz w:val="24"/>
          <w:szCs w:val="24"/>
        </w:rPr>
        <w:t>where on-site neurological and neurophysiological service provision is often limited, and management is</w:t>
      </w:r>
      <w:r w:rsidR="004A7F45" w:rsidRPr="00297D6C">
        <w:rPr>
          <w:sz w:val="24"/>
          <w:szCs w:val="24"/>
        </w:rPr>
        <w:t xml:space="preserve"> </w:t>
      </w:r>
      <w:r w:rsidRPr="00297D6C">
        <w:rPr>
          <w:sz w:val="24"/>
          <w:szCs w:val="24"/>
        </w:rPr>
        <w:t>often</w:t>
      </w:r>
      <w:r w:rsidR="004A7F45" w:rsidRPr="00297D6C">
        <w:rPr>
          <w:sz w:val="24"/>
          <w:szCs w:val="24"/>
        </w:rPr>
        <w:t xml:space="preserve"> </w:t>
      </w:r>
      <w:r w:rsidRPr="00297D6C">
        <w:rPr>
          <w:sz w:val="24"/>
          <w:szCs w:val="24"/>
        </w:rPr>
        <w:t>undertaken</w:t>
      </w:r>
      <w:r w:rsidR="004A7F45" w:rsidRPr="00297D6C">
        <w:rPr>
          <w:sz w:val="24"/>
          <w:szCs w:val="24"/>
        </w:rPr>
        <w:t xml:space="preserve"> </w:t>
      </w:r>
      <w:r w:rsidRPr="00297D6C">
        <w:rPr>
          <w:sz w:val="24"/>
          <w:szCs w:val="24"/>
        </w:rPr>
        <w:t>by</w:t>
      </w:r>
      <w:r w:rsidR="004A7F45" w:rsidRPr="00297D6C">
        <w:rPr>
          <w:sz w:val="24"/>
          <w:szCs w:val="24"/>
        </w:rPr>
        <w:t xml:space="preserve"> </w:t>
      </w:r>
      <w:r w:rsidRPr="00297D6C">
        <w:rPr>
          <w:sz w:val="24"/>
          <w:szCs w:val="24"/>
        </w:rPr>
        <w:t>intensivists using</w:t>
      </w:r>
      <w:r w:rsidR="004A7F45" w:rsidRPr="00297D6C">
        <w:rPr>
          <w:sz w:val="24"/>
          <w:szCs w:val="24"/>
        </w:rPr>
        <w:t xml:space="preserve"> </w:t>
      </w:r>
      <w:r w:rsidRPr="00297D6C">
        <w:rPr>
          <w:sz w:val="24"/>
          <w:szCs w:val="24"/>
        </w:rPr>
        <w:t>amplitude-integrated</w:t>
      </w:r>
      <w:r w:rsidR="004A7F45" w:rsidRPr="00297D6C">
        <w:rPr>
          <w:sz w:val="24"/>
          <w:szCs w:val="24"/>
        </w:rPr>
        <w:t xml:space="preserve"> </w:t>
      </w:r>
      <w:r w:rsidRPr="00297D6C">
        <w:rPr>
          <w:sz w:val="24"/>
          <w:szCs w:val="24"/>
        </w:rPr>
        <w:t>EEG and</w:t>
      </w:r>
      <w:r w:rsidR="004A7F45" w:rsidRPr="00297D6C">
        <w:rPr>
          <w:sz w:val="24"/>
          <w:szCs w:val="24"/>
        </w:rPr>
        <w:t xml:space="preserve"> </w:t>
      </w:r>
      <w:r w:rsidRPr="00297D6C">
        <w:rPr>
          <w:sz w:val="24"/>
          <w:szCs w:val="24"/>
        </w:rPr>
        <w:t>cerebral function monitors</w:t>
      </w:r>
      <w:r w:rsidR="00F75719" w:rsidRPr="00297D6C">
        <w:rPr>
          <w:sz w:val="24"/>
          <w:szCs w:val="24"/>
        </w:rPr>
        <w:t>, modalities vulnerable to over</w:t>
      </w:r>
      <w:r w:rsidR="00297D6C" w:rsidRPr="00297D6C">
        <w:rPr>
          <w:sz w:val="24"/>
          <w:szCs w:val="24"/>
        </w:rPr>
        <w:t xml:space="preserve"> and</w:t>
      </w:r>
      <w:r w:rsidR="00F75719" w:rsidRPr="00297D6C">
        <w:rPr>
          <w:sz w:val="24"/>
          <w:szCs w:val="24"/>
        </w:rPr>
        <w:t xml:space="preserve"> under</w:t>
      </w:r>
      <w:r w:rsidR="00297D6C" w:rsidRPr="00297D6C">
        <w:rPr>
          <w:sz w:val="24"/>
          <w:szCs w:val="24"/>
        </w:rPr>
        <w:t xml:space="preserve"> </w:t>
      </w:r>
      <w:r w:rsidR="00F75719" w:rsidRPr="00297D6C">
        <w:rPr>
          <w:sz w:val="24"/>
          <w:szCs w:val="24"/>
        </w:rPr>
        <w:t>detection of seizures</w:t>
      </w:r>
      <w:r w:rsidRPr="00297D6C">
        <w:rPr>
          <w:sz w:val="24"/>
          <w:szCs w:val="24"/>
        </w:rPr>
        <w:t>.</w:t>
      </w:r>
    </w:p>
    <w:p w14:paraId="6E761975" w14:textId="24EADC2E" w:rsidR="00AF006C" w:rsidRPr="003960A6" w:rsidRDefault="00093C21" w:rsidP="00D17ED0">
      <w:pPr>
        <w:rPr>
          <w:sz w:val="24"/>
          <w:szCs w:val="24"/>
        </w:rPr>
      </w:pPr>
      <w:r w:rsidRPr="003960A6">
        <w:rPr>
          <w:sz w:val="24"/>
          <w:szCs w:val="24"/>
        </w:rPr>
        <w:t>High-quality clinical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research (multi-centre,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age-specific,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prospective,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randomised,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pragmatic, including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health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economic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evaluations)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required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to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better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define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the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appropriate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patient groups</w:t>
      </w:r>
      <w:r w:rsidR="003C4DD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 xml:space="preserve">for cEEG, the ideal </w:t>
      </w:r>
      <w:r w:rsidR="003C4DD5" w:rsidRPr="003960A6">
        <w:rPr>
          <w:sz w:val="24"/>
          <w:szCs w:val="24"/>
        </w:rPr>
        <w:t>endpoints</w:t>
      </w:r>
      <w:r w:rsidRPr="003960A6">
        <w:rPr>
          <w:sz w:val="24"/>
          <w:szCs w:val="24"/>
        </w:rPr>
        <w:t xml:space="preserve"> of monitoring, and the outcomes of detection and treatment of cEEG-based seizures. Until that time, and until adequate resourcing and funding is provided, neurologists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and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intensivists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will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need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to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rely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upon</w:t>
      </w:r>
      <w:r w:rsidR="004A7F45" w:rsidRPr="003960A6">
        <w:rPr>
          <w:sz w:val="24"/>
          <w:szCs w:val="24"/>
        </w:rPr>
        <w:t xml:space="preserve"> </w:t>
      </w:r>
      <w:r w:rsidR="003C4DD5" w:rsidRPr="003960A6">
        <w:rPr>
          <w:sz w:val="24"/>
          <w:szCs w:val="24"/>
        </w:rPr>
        <w:t xml:space="preserve">interdisciplinary </w:t>
      </w:r>
      <w:r w:rsidR="00B11A3F" w:rsidRPr="003960A6">
        <w:rPr>
          <w:sz w:val="24"/>
          <w:szCs w:val="24"/>
        </w:rPr>
        <w:t>team</w:t>
      </w:r>
      <w:r w:rsidR="003C4DD5" w:rsidRPr="003960A6">
        <w:rPr>
          <w:sz w:val="24"/>
          <w:szCs w:val="24"/>
        </w:rPr>
        <w:t xml:space="preserve"> co</w:t>
      </w:r>
      <w:r w:rsidR="00B11A3F" w:rsidRPr="003960A6">
        <w:rPr>
          <w:sz w:val="24"/>
          <w:szCs w:val="24"/>
        </w:rPr>
        <w:t>llaboration</w:t>
      </w:r>
      <w:r w:rsidR="003C4DD5" w:rsidRPr="003960A6">
        <w:rPr>
          <w:sz w:val="24"/>
          <w:szCs w:val="24"/>
        </w:rPr>
        <w:t xml:space="preserve"> and </w:t>
      </w:r>
      <w:r w:rsidRPr="003960A6">
        <w:rPr>
          <w:sz w:val="24"/>
          <w:szCs w:val="24"/>
        </w:rPr>
        <w:t>targeted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use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of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existing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clinical and</w:t>
      </w:r>
      <w:r w:rsidR="004A7F45" w:rsidRPr="003960A6">
        <w:rPr>
          <w:sz w:val="24"/>
          <w:szCs w:val="24"/>
        </w:rPr>
        <w:t xml:space="preserve"> </w:t>
      </w:r>
      <w:r w:rsidRPr="003960A6">
        <w:rPr>
          <w:sz w:val="24"/>
          <w:szCs w:val="24"/>
        </w:rPr>
        <w:t>EEG services.</w:t>
      </w:r>
    </w:p>
    <w:sectPr w:rsidR="00AF006C" w:rsidRPr="0039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21"/>
    <w:rsid w:val="00093C21"/>
    <w:rsid w:val="00272481"/>
    <w:rsid w:val="00297D6C"/>
    <w:rsid w:val="003960A6"/>
    <w:rsid w:val="003C4DD5"/>
    <w:rsid w:val="004A7F45"/>
    <w:rsid w:val="006C138B"/>
    <w:rsid w:val="00743944"/>
    <w:rsid w:val="00A26FD1"/>
    <w:rsid w:val="00B11A3F"/>
    <w:rsid w:val="00D17ED0"/>
    <w:rsid w:val="00D62A36"/>
    <w:rsid w:val="00EE7076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AAE0"/>
  <w15:chartTrackingRefBased/>
  <w15:docId w15:val="{C0334138-C0D0-4C42-808F-5641DD87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93C21"/>
  </w:style>
  <w:style w:type="character" w:customStyle="1" w:styleId="eop">
    <w:name w:val="eop"/>
    <w:basedOn w:val="DefaultParagraphFont"/>
    <w:rsid w:val="00093C21"/>
  </w:style>
  <w:style w:type="paragraph" w:styleId="Revision">
    <w:name w:val="Revision"/>
    <w:hidden/>
    <w:uiPriority w:val="99"/>
    <w:semiHidden/>
    <w:rsid w:val="00396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2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Waak</dc:creator>
  <cp:keywords/>
  <dc:description/>
  <cp:lastModifiedBy>Simon Harvey</cp:lastModifiedBy>
  <cp:revision>2</cp:revision>
  <dcterms:created xsi:type="dcterms:W3CDTF">2022-10-06T23:29:00Z</dcterms:created>
  <dcterms:modified xsi:type="dcterms:W3CDTF">2022-10-06T23:29:00Z</dcterms:modified>
</cp:coreProperties>
</file>